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51" w:rsidRDefault="00306951" w:rsidP="00306951">
      <w:pPr>
        <w:spacing w:line="360" w:lineRule="auto"/>
        <w:jc w:val="both"/>
        <w:rPr>
          <w:rFonts w:ascii="Century Gothic" w:hAnsi="Century Gothic"/>
          <w:b/>
          <w:sz w:val="24"/>
          <w:szCs w:val="24"/>
        </w:rPr>
      </w:pPr>
      <w:r w:rsidRPr="00306951">
        <w:rPr>
          <w:rFonts w:ascii="Century Gothic" w:hAnsi="Century Gothic"/>
          <w:b/>
          <w:sz w:val="24"/>
          <w:szCs w:val="24"/>
        </w:rPr>
        <w:t>À UNIVERSIDADE DO ESTADO DO RIO DE JANEIRO</w:t>
      </w:r>
      <w:r>
        <w:rPr>
          <w:rFonts w:ascii="Century Gothic" w:hAnsi="Century Gothic"/>
          <w:b/>
          <w:sz w:val="24"/>
          <w:szCs w:val="24"/>
        </w:rPr>
        <w:t xml:space="preserve"> – COMISSÃO PERMANENTE DE LICITAÇÃO </w:t>
      </w:r>
      <w:r w:rsidR="00107C5E">
        <w:rPr>
          <w:rFonts w:ascii="Century Gothic" w:hAnsi="Century Gothic"/>
          <w:b/>
          <w:sz w:val="24"/>
          <w:szCs w:val="24"/>
        </w:rPr>
        <w:t>– COORDENADORIA TÉCNICA DE LICITAÇÕES E CONTRATOS</w:t>
      </w:r>
    </w:p>
    <w:p w:rsidR="00107C5E" w:rsidRDefault="00107C5E" w:rsidP="00306951">
      <w:pPr>
        <w:spacing w:line="360" w:lineRule="auto"/>
        <w:jc w:val="both"/>
        <w:rPr>
          <w:rFonts w:ascii="Century Gothic" w:hAnsi="Century Gothic"/>
          <w:b/>
          <w:sz w:val="24"/>
          <w:szCs w:val="24"/>
        </w:rPr>
      </w:pPr>
    </w:p>
    <w:p w:rsidR="00107C5E" w:rsidRDefault="00107C5E" w:rsidP="00306951">
      <w:pPr>
        <w:spacing w:line="360" w:lineRule="auto"/>
        <w:jc w:val="both"/>
        <w:rPr>
          <w:rFonts w:ascii="Century Gothic" w:hAnsi="Century Gothic"/>
          <w:b/>
          <w:sz w:val="24"/>
          <w:szCs w:val="24"/>
        </w:rPr>
      </w:pPr>
      <w:r>
        <w:rPr>
          <w:rFonts w:ascii="Century Gothic" w:hAnsi="Century Gothic"/>
          <w:b/>
          <w:sz w:val="24"/>
          <w:szCs w:val="24"/>
        </w:rPr>
        <w:t>Processo Administrativo: E – 26/007/101752/2018</w:t>
      </w:r>
    </w:p>
    <w:p w:rsidR="00107C5E" w:rsidRDefault="00107C5E" w:rsidP="00306951">
      <w:pPr>
        <w:spacing w:line="360" w:lineRule="auto"/>
        <w:jc w:val="both"/>
        <w:rPr>
          <w:rFonts w:ascii="Century Gothic" w:hAnsi="Century Gothic"/>
          <w:b/>
          <w:sz w:val="24"/>
          <w:szCs w:val="24"/>
        </w:rPr>
      </w:pPr>
      <w:r>
        <w:rPr>
          <w:rFonts w:ascii="Century Gothic" w:hAnsi="Century Gothic"/>
          <w:b/>
          <w:sz w:val="24"/>
          <w:szCs w:val="24"/>
        </w:rPr>
        <w:t xml:space="preserve">Referência: </w:t>
      </w:r>
      <w:r w:rsidR="006109E1">
        <w:rPr>
          <w:rFonts w:ascii="Century Gothic" w:hAnsi="Century Gothic"/>
          <w:b/>
          <w:sz w:val="24"/>
          <w:szCs w:val="24"/>
        </w:rPr>
        <w:t xml:space="preserve">edital de </w:t>
      </w:r>
      <w:r>
        <w:rPr>
          <w:rFonts w:ascii="Century Gothic" w:hAnsi="Century Gothic"/>
          <w:b/>
          <w:sz w:val="24"/>
          <w:szCs w:val="24"/>
        </w:rPr>
        <w:t>concorrência nº 17/2019</w:t>
      </w:r>
    </w:p>
    <w:p w:rsidR="00107C5E" w:rsidRDefault="00107C5E" w:rsidP="00306951">
      <w:pPr>
        <w:spacing w:line="360" w:lineRule="auto"/>
        <w:jc w:val="both"/>
        <w:rPr>
          <w:rFonts w:ascii="Century Gothic" w:hAnsi="Century Gothic"/>
          <w:b/>
          <w:sz w:val="24"/>
          <w:szCs w:val="24"/>
        </w:rPr>
      </w:pPr>
    </w:p>
    <w:p w:rsidR="00107C5E" w:rsidRDefault="00107C5E" w:rsidP="00306951">
      <w:pPr>
        <w:spacing w:line="360" w:lineRule="auto"/>
        <w:jc w:val="both"/>
        <w:rPr>
          <w:rFonts w:ascii="Century Gothic" w:hAnsi="Century Gothic"/>
          <w:b/>
          <w:sz w:val="24"/>
          <w:szCs w:val="24"/>
        </w:rPr>
      </w:pPr>
    </w:p>
    <w:p w:rsidR="00107C5E" w:rsidRDefault="00107C5E" w:rsidP="00306951">
      <w:pPr>
        <w:spacing w:line="360" w:lineRule="auto"/>
        <w:jc w:val="both"/>
        <w:rPr>
          <w:rFonts w:ascii="Century Gothic" w:hAnsi="Century Gothic"/>
          <w:sz w:val="24"/>
          <w:szCs w:val="24"/>
        </w:rPr>
      </w:pPr>
      <w:r>
        <w:rPr>
          <w:rFonts w:ascii="Century Gothic" w:hAnsi="Century Gothic"/>
          <w:b/>
          <w:sz w:val="24"/>
          <w:szCs w:val="24"/>
        </w:rPr>
        <w:tab/>
        <w:t xml:space="preserve">Heloisa Lopes e Silva, </w:t>
      </w:r>
      <w:r w:rsidRPr="00107C5E">
        <w:rPr>
          <w:rFonts w:ascii="Century Gothic" w:hAnsi="Century Gothic"/>
          <w:sz w:val="24"/>
          <w:szCs w:val="24"/>
        </w:rPr>
        <w:t>brasilei</w:t>
      </w:r>
      <w:r>
        <w:rPr>
          <w:rFonts w:ascii="Century Gothic" w:hAnsi="Century Gothic"/>
          <w:sz w:val="24"/>
          <w:szCs w:val="24"/>
        </w:rPr>
        <w:t xml:space="preserve">ra, viúva, portadora da </w:t>
      </w:r>
      <w:r w:rsidR="00560FBB">
        <w:rPr>
          <w:rFonts w:ascii="Century Gothic" w:hAnsi="Century Gothic"/>
          <w:sz w:val="24"/>
          <w:szCs w:val="24"/>
        </w:rPr>
        <w:t>carteira de identidade de nº 03.391.290-8 IFP, inscrita no CPF sob o 553.518.677-53</w:t>
      </w:r>
      <w:bookmarkStart w:id="0" w:name="_GoBack"/>
      <w:bookmarkEnd w:id="0"/>
      <w:r>
        <w:rPr>
          <w:rFonts w:ascii="Century Gothic" w:hAnsi="Century Gothic"/>
          <w:sz w:val="24"/>
          <w:szCs w:val="24"/>
        </w:rPr>
        <w:t>, aposentada, residente e domiciliada na Av. São Sebastião, número 266, Urca, Rio de Janeiro, RJ, vem</w:t>
      </w:r>
      <w:r w:rsidR="00275DAC">
        <w:rPr>
          <w:rFonts w:ascii="Century Gothic" w:hAnsi="Century Gothic"/>
          <w:sz w:val="24"/>
          <w:szCs w:val="24"/>
        </w:rPr>
        <w:t xml:space="preserve"> </w:t>
      </w:r>
      <w:r w:rsidR="006109E1">
        <w:rPr>
          <w:rFonts w:ascii="Century Gothic" w:hAnsi="Century Gothic"/>
          <w:sz w:val="24"/>
          <w:szCs w:val="24"/>
        </w:rPr>
        <w:t xml:space="preserve">ofertar tempestivamente </w:t>
      </w:r>
    </w:p>
    <w:p w:rsidR="006109E1" w:rsidRDefault="006109E1" w:rsidP="00306951">
      <w:pPr>
        <w:spacing w:line="360" w:lineRule="auto"/>
        <w:jc w:val="both"/>
        <w:rPr>
          <w:rFonts w:ascii="Century Gothic" w:hAnsi="Century Gothic"/>
          <w:sz w:val="24"/>
          <w:szCs w:val="24"/>
        </w:rPr>
      </w:pPr>
    </w:p>
    <w:p w:rsidR="006109E1" w:rsidRDefault="006109E1" w:rsidP="00306951">
      <w:pPr>
        <w:spacing w:line="360" w:lineRule="auto"/>
        <w:jc w:val="both"/>
        <w:rPr>
          <w:rFonts w:ascii="Century Gothic" w:hAnsi="Century Gothic"/>
          <w:sz w:val="24"/>
          <w:szCs w:val="24"/>
        </w:rPr>
      </w:pPr>
    </w:p>
    <w:p w:rsidR="006109E1" w:rsidRPr="006109E1" w:rsidRDefault="006109E1" w:rsidP="006109E1">
      <w:pPr>
        <w:spacing w:line="360" w:lineRule="auto"/>
        <w:jc w:val="center"/>
        <w:rPr>
          <w:rFonts w:ascii="Century Gothic" w:hAnsi="Century Gothic"/>
          <w:b/>
          <w:sz w:val="29"/>
          <w:szCs w:val="29"/>
        </w:rPr>
      </w:pPr>
    </w:p>
    <w:p w:rsidR="006109E1" w:rsidRPr="006109E1" w:rsidRDefault="006109E1" w:rsidP="006109E1">
      <w:pPr>
        <w:spacing w:line="360" w:lineRule="auto"/>
        <w:jc w:val="center"/>
        <w:rPr>
          <w:rFonts w:ascii="Century Gothic" w:hAnsi="Century Gothic"/>
          <w:b/>
          <w:sz w:val="29"/>
          <w:szCs w:val="29"/>
        </w:rPr>
      </w:pPr>
      <w:r w:rsidRPr="006109E1">
        <w:rPr>
          <w:rFonts w:ascii="Century Gothic" w:hAnsi="Century Gothic"/>
          <w:b/>
          <w:sz w:val="29"/>
          <w:szCs w:val="29"/>
        </w:rPr>
        <w:t>IMPUGNAÇÃO AO EDITAL DE CONCORRÊNCIA DE Nº 17/2019</w:t>
      </w:r>
    </w:p>
    <w:p w:rsidR="00306951" w:rsidRDefault="00306951" w:rsidP="00306951">
      <w:pPr>
        <w:spacing w:line="360" w:lineRule="auto"/>
        <w:jc w:val="both"/>
        <w:rPr>
          <w:rFonts w:ascii="Century Gothic" w:hAnsi="Century Gothic"/>
          <w:b/>
          <w:sz w:val="24"/>
          <w:szCs w:val="24"/>
        </w:rPr>
      </w:pPr>
    </w:p>
    <w:p w:rsidR="006109E1" w:rsidRDefault="006109E1" w:rsidP="00306951">
      <w:pPr>
        <w:spacing w:line="360" w:lineRule="auto"/>
        <w:jc w:val="both"/>
        <w:rPr>
          <w:rFonts w:ascii="Century Gothic" w:hAnsi="Century Gothic"/>
          <w:b/>
          <w:sz w:val="24"/>
          <w:szCs w:val="24"/>
        </w:rPr>
      </w:pPr>
    </w:p>
    <w:p w:rsidR="006109E1" w:rsidRDefault="006109E1" w:rsidP="00306951">
      <w:pPr>
        <w:spacing w:line="360" w:lineRule="auto"/>
        <w:jc w:val="both"/>
        <w:rPr>
          <w:rFonts w:ascii="Century Gothic" w:hAnsi="Century Gothic"/>
          <w:b/>
          <w:sz w:val="24"/>
          <w:szCs w:val="24"/>
        </w:rPr>
      </w:pPr>
    </w:p>
    <w:p w:rsidR="006109E1" w:rsidRDefault="006109E1" w:rsidP="00306951">
      <w:pPr>
        <w:spacing w:line="360" w:lineRule="auto"/>
        <w:jc w:val="both"/>
        <w:rPr>
          <w:rFonts w:ascii="Century Gothic" w:hAnsi="Century Gothic"/>
          <w:b/>
          <w:sz w:val="24"/>
          <w:szCs w:val="24"/>
        </w:rPr>
      </w:pPr>
    </w:p>
    <w:p w:rsidR="006109E1" w:rsidRDefault="006109E1" w:rsidP="00306951">
      <w:pPr>
        <w:spacing w:line="360" w:lineRule="auto"/>
        <w:jc w:val="both"/>
        <w:rPr>
          <w:rFonts w:ascii="Century Gothic" w:hAnsi="Century Gothic"/>
          <w:b/>
          <w:sz w:val="24"/>
          <w:szCs w:val="24"/>
        </w:rPr>
      </w:pPr>
    </w:p>
    <w:p w:rsidR="006109E1" w:rsidRDefault="006109E1" w:rsidP="00306951">
      <w:pPr>
        <w:spacing w:line="360" w:lineRule="auto"/>
        <w:jc w:val="both"/>
        <w:rPr>
          <w:rFonts w:ascii="Century Gothic" w:hAnsi="Century Gothic"/>
          <w:sz w:val="24"/>
          <w:szCs w:val="24"/>
        </w:rPr>
      </w:pPr>
      <w:proofErr w:type="gramStart"/>
      <w:r>
        <w:rPr>
          <w:rFonts w:ascii="Century Gothic" w:hAnsi="Century Gothic"/>
          <w:sz w:val="24"/>
          <w:szCs w:val="24"/>
        </w:rPr>
        <w:t>s</w:t>
      </w:r>
      <w:r w:rsidRPr="006109E1">
        <w:rPr>
          <w:rFonts w:ascii="Century Gothic" w:hAnsi="Century Gothic"/>
          <w:sz w:val="24"/>
          <w:szCs w:val="24"/>
        </w:rPr>
        <w:t>e</w:t>
      </w:r>
      <w:proofErr w:type="gramEnd"/>
      <w:r>
        <w:rPr>
          <w:rFonts w:ascii="Century Gothic" w:hAnsi="Century Gothic"/>
          <w:sz w:val="24"/>
          <w:szCs w:val="24"/>
        </w:rPr>
        <w:t xml:space="preserve"> ancorando no </w:t>
      </w:r>
      <w:r w:rsidRPr="00062762">
        <w:rPr>
          <w:rFonts w:ascii="Century Gothic" w:hAnsi="Century Gothic"/>
          <w:b/>
          <w:sz w:val="24"/>
          <w:szCs w:val="24"/>
        </w:rPr>
        <w:t xml:space="preserve">artigo, 5º, inciso II e no artigo 37, </w:t>
      </w:r>
      <w:r w:rsidRPr="00062762">
        <w:rPr>
          <w:rFonts w:ascii="Century Gothic" w:hAnsi="Century Gothic"/>
          <w:b/>
          <w:i/>
          <w:sz w:val="24"/>
          <w:szCs w:val="24"/>
        </w:rPr>
        <w:t xml:space="preserve">caput </w:t>
      </w:r>
      <w:r w:rsidRPr="00062762">
        <w:rPr>
          <w:rFonts w:ascii="Century Gothic" w:hAnsi="Century Gothic"/>
          <w:b/>
          <w:sz w:val="24"/>
          <w:szCs w:val="24"/>
        </w:rPr>
        <w:t xml:space="preserve">ambos da Constituição Federal, nos artigos 28 e 29 da Lei Federal 8.245/91 e jurisprudência do Tribunal de Justiça do Estado do RJ, sendo os julgados exemplificativos </w:t>
      </w:r>
      <w:r w:rsidR="00FB0206" w:rsidRPr="00062762">
        <w:rPr>
          <w:rFonts w:ascii="Century Gothic" w:hAnsi="Century Gothic"/>
          <w:b/>
          <w:sz w:val="24"/>
          <w:szCs w:val="24"/>
        </w:rPr>
        <w:t>0040419-41.2013.8.19.0054 e 0046756-37.2015.8.19.0002 .</w:t>
      </w:r>
    </w:p>
    <w:p w:rsidR="00062762" w:rsidRPr="005B4746" w:rsidRDefault="00062762" w:rsidP="005B4746">
      <w:pPr>
        <w:spacing w:line="360" w:lineRule="auto"/>
        <w:jc w:val="both"/>
        <w:rPr>
          <w:rFonts w:ascii="Century Gothic" w:hAnsi="Century Gothic"/>
          <w:b/>
          <w:sz w:val="24"/>
          <w:szCs w:val="24"/>
        </w:rPr>
      </w:pPr>
      <w:r w:rsidRPr="00062762">
        <w:rPr>
          <w:rFonts w:ascii="Century Gothic" w:hAnsi="Century Gothic"/>
          <w:b/>
          <w:sz w:val="24"/>
          <w:szCs w:val="24"/>
        </w:rPr>
        <w:lastRenderedPageBreak/>
        <w:t>I – DA VIOLAÇÃO AO DIREITO DE PREFERÊNCIA DISPOSTO NOS ARTIGOS 28 E 29 DA LEI FEDERAL 8.245/91 – DA APLICABILIDADE DA LEI FEDERAL 8.245/91 CELEBRADOS ENTRE A ADMINISTRAÇÃO PÚBLICA CONFORME JURISPRUDÊNCIA DO TRIBUNAL DE JUSTIÇA DO ESTADO DO RJ</w:t>
      </w:r>
    </w:p>
    <w:p w:rsidR="0038128C" w:rsidRDefault="00062762" w:rsidP="0038128C">
      <w:pPr>
        <w:spacing w:line="360" w:lineRule="auto"/>
        <w:jc w:val="both"/>
        <w:rPr>
          <w:rFonts w:ascii="Century Gothic" w:hAnsi="Century Gothic"/>
          <w:sz w:val="24"/>
          <w:szCs w:val="24"/>
        </w:rPr>
      </w:pPr>
      <w:r>
        <w:rPr>
          <w:rFonts w:ascii="Century Gothic" w:hAnsi="Century Gothic"/>
          <w:sz w:val="24"/>
          <w:szCs w:val="24"/>
        </w:rPr>
        <w:tab/>
        <w:t>Inicialmente</w:t>
      </w:r>
      <w:r w:rsidR="00E17915">
        <w:rPr>
          <w:rFonts w:ascii="Century Gothic" w:hAnsi="Century Gothic"/>
          <w:sz w:val="24"/>
          <w:szCs w:val="24"/>
        </w:rPr>
        <w:t xml:space="preserve"> </w:t>
      </w:r>
      <w:r w:rsidR="005B4746">
        <w:rPr>
          <w:rFonts w:ascii="Century Gothic" w:hAnsi="Century Gothic"/>
          <w:sz w:val="24"/>
          <w:szCs w:val="24"/>
        </w:rPr>
        <w:t xml:space="preserve">impende elucidar o fato de a impugnante ser a atual locatária do imóvel em tela, inclusive reside na casa em questão há mais de quinze anos. Neste diapasão, embora seja a UERJ pertencente à Administração Pública, o contrato de locação celebrado inicialmente com o senhor </w:t>
      </w:r>
      <w:proofErr w:type="spellStart"/>
      <w:r w:rsidR="005B4746">
        <w:rPr>
          <w:rFonts w:ascii="Century Gothic" w:hAnsi="Century Gothic"/>
          <w:sz w:val="24"/>
          <w:szCs w:val="24"/>
        </w:rPr>
        <w:t>Antonio</w:t>
      </w:r>
      <w:proofErr w:type="spellEnd"/>
      <w:r w:rsidR="005B4746">
        <w:rPr>
          <w:rFonts w:ascii="Century Gothic" w:hAnsi="Century Gothic"/>
          <w:sz w:val="24"/>
          <w:szCs w:val="24"/>
        </w:rPr>
        <w:t xml:space="preserve"> Alberto Almeida e Silva e posteriormente com a senhora </w:t>
      </w:r>
      <w:r w:rsidR="005B4746" w:rsidRPr="005B4746">
        <w:rPr>
          <w:rFonts w:ascii="Century Gothic" w:hAnsi="Century Gothic"/>
          <w:sz w:val="24"/>
          <w:szCs w:val="24"/>
        </w:rPr>
        <w:t>Heloisa Lopes e Silva</w:t>
      </w:r>
      <w:r w:rsidR="005B4746">
        <w:rPr>
          <w:rFonts w:ascii="Century Gothic" w:hAnsi="Century Gothic"/>
          <w:sz w:val="24"/>
          <w:szCs w:val="24"/>
        </w:rPr>
        <w:t xml:space="preserve">, se rege pelas normas da Lei Federal 8.245/91 (Lei de Locações), não pelo regramento abarcado no Direito Administrativo. </w:t>
      </w:r>
    </w:p>
    <w:p w:rsidR="00062762" w:rsidRDefault="0038128C" w:rsidP="0038128C">
      <w:pPr>
        <w:spacing w:line="360" w:lineRule="auto"/>
        <w:ind w:firstLine="708"/>
        <w:jc w:val="both"/>
        <w:rPr>
          <w:rFonts w:ascii="Century Gothic" w:hAnsi="Century Gothic"/>
          <w:sz w:val="24"/>
          <w:szCs w:val="24"/>
        </w:rPr>
      </w:pPr>
      <w:r>
        <w:rPr>
          <w:rFonts w:ascii="Century Gothic" w:hAnsi="Century Gothic"/>
          <w:sz w:val="24"/>
          <w:szCs w:val="24"/>
        </w:rPr>
        <w:t>Noutro prisma, adentrando-se no cerne do objeto desta impugnação, se esclarece que</w:t>
      </w:r>
      <w:r w:rsidR="000D3DEC">
        <w:rPr>
          <w:rFonts w:ascii="Century Gothic" w:hAnsi="Century Gothic"/>
          <w:sz w:val="24"/>
          <w:szCs w:val="24"/>
        </w:rPr>
        <w:t xml:space="preserve"> a ora peticionante, atual locatária, não teve seu direito de preferência, plasmado nos artigos 28 e 29 da Lei Federal 8.245/91, respeitado por esta instituição de ensino, haja vista o edital de concorrência nº 17/2019 não ter franqueado à locatária o direito de preferência de compra ou mesmo de preferência em relação à cessão de direito de uso. Indo ao encontro deste raciocínio, qual seja, que a Lei Federal 8.245/91 se aplica nos contratos celebrados entre a Administração Pública e o particular temos o respaldo da jurisprudência iterativa do Tribunal de Justiça do Estado do RJ, observe-se julgados exemplificativos deste entendimento:</w:t>
      </w:r>
    </w:p>
    <w:p w:rsidR="0038128C" w:rsidRPr="00DD14C6" w:rsidRDefault="0038128C" w:rsidP="0038128C">
      <w:pPr>
        <w:spacing w:line="360" w:lineRule="auto"/>
        <w:ind w:left="2835"/>
        <w:jc w:val="both"/>
        <w:rPr>
          <w:rFonts w:ascii="Century Gothic" w:hAnsi="Century Gothic"/>
          <w:b/>
          <w:sz w:val="24"/>
          <w:szCs w:val="24"/>
        </w:rPr>
      </w:pPr>
      <w:r w:rsidRPr="00DD14C6">
        <w:rPr>
          <w:rFonts w:ascii="Century Gothic" w:hAnsi="Century Gothic"/>
          <w:b/>
          <w:sz w:val="24"/>
          <w:szCs w:val="24"/>
        </w:rPr>
        <w:t>0040419-41.2013.8.19.0054 - APELAÇÃO</w:t>
      </w:r>
    </w:p>
    <w:p w:rsidR="0038128C" w:rsidRPr="00DD14C6" w:rsidRDefault="0038128C" w:rsidP="0038128C">
      <w:pPr>
        <w:spacing w:line="360" w:lineRule="auto"/>
        <w:ind w:left="2835"/>
        <w:jc w:val="both"/>
        <w:rPr>
          <w:rFonts w:ascii="Century Gothic" w:hAnsi="Century Gothic"/>
          <w:b/>
          <w:sz w:val="24"/>
          <w:szCs w:val="24"/>
        </w:rPr>
      </w:pPr>
      <w:r w:rsidRPr="00DD14C6">
        <w:rPr>
          <w:rFonts w:ascii="Century Gothic" w:hAnsi="Century Gothic"/>
          <w:b/>
          <w:sz w:val="24"/>
          <w:szCs w:val="24"/>
        </w:rPr>
        <w:t xml:space="preserve"> Des (a). LINDOLPHO MORAIS MARINHO - Julgamento: 02/07/2019 - DÉCIMA SEXTA CÂMARA CÍVEL</w:t>
      </w:r>
    </w:p>
    <w:p w:rsidR="0038128C" w:rsidRPr="0038128C" w:rsidRDefault="0038128C" w:rsidP="0038128C">
      <w:pPr>
        <w:spacing w:line="360" w:lineRule="auto"/>
        <w:ind w:left="2835"/>
        <w:jc w:val="both"/>
        <w:rPr>
          <w:rFonts w:ascii="Century Gothic" w:hAnsi="Century Gothic"/>
          <w:sz w:val="24"/>
          <w:szCs w:val="24"/>
        </w:rPr>
      </w:pPr>
      <w:r w:rsidRPr="0038128C">
        <w:rPr>
          <w:rFonts w:ascii="Century Gothic" w:hAnsi="Century Gothic"/>
          <w:sz w:val="24"/>
          <w:szCs w:val="24"/>
        </w:rPr>
        <w:t xml:space="preserve">PROCESSUAL E CIVIL. DESPEJO C/C COBRANÇA DE ALUGUÉIS. COMPROVADA A EFETIVA RELAÇÃO LOCATÍCIA ENTRE O MUNICÍPIO </w:t>
      </w:r>
      <w:r w:rsidRPr="0038128C">
        <w:rPr>
          <w:rFonts w:ascii="Century Gothic" w:hAnsi="Century Gothic"/>
          <w:sz w:val="24"/>
          <w:szCs w:val="24"/>
        </w:rPr>
        <w:lastRenderedPageBreak/>
        <w:t xml:space="preserve">APELANTE E O APELADO, BEM COMO A INADIMPLÊNCIA. </w:t>
      </w:r>
      <w:r w:rsidRPr="00DD14C6">
        <w:rPr>
          <w:rFonts w:ascii="Century Gothic" w:hAnsi="Century Gothic"/>
          <w:b/>
          <w:sz w:val="26"/>
          <w:szCs w:val="26"/>
        </w:rPr>
        <w:t xml:space="preserve">AS LOCAÇÕES CELEBRADAS PELA ADMINISTRAÇÃO PÚBLICA SÃO SUBMETIDAS AO REGIME DE DIREITO PRIVADO. LEI Nº 8.245/91. RECURSO PARCIALMENTE PROVIDO. </w:t>
      </w:r>
      <w:r w:rsidRPr="00DD14C6">
        <w:rPr>
          <w:rFonts w:ascii="Century Gothic" w:hAnsi="Century Gothic"/>
          <w:b/>
          <w:sz w:val="28"/>
          <w:szCs w:val="28"/>
          <w:u w:val="single"/>
        </w:rPr>
        <w:t>Locações celebradas pela Administração Pública são submetidas ao regime de direito privado, independentemente de a mesma figurar</w:t>
      </w:r>
      <w:r w:rsidRPr="00DD14C6">
        <w:rPr>
          <w:rFonts w:ascii="Century Gothic" w:hAnsi="Century Gothic"/>
          <w:b/>
          <w:sz w:val="26"/>
          <w:szCs w:val="26"/>
        </w:rPr>
        <w:t xml:space="preserve"> como locadora ou como locatária, submetendo-se o contrato de locação de imóvel celebrado pelo poder público às normas de direito privado</w:t>
      </w:r>
      <w:r w:rsidRPr="00DD14C6">
        <w:rPr>
          <w:rFonts w:ascii="Century Gothic" w:hAnsi="Century Gothic"/>
          <w:sz w:val="26"/>
          <w:szCs w:val="26"/>
        </w:rPr>
        <w:t>.</w:t>
      </w:r>
      <w:r w:rsidRPr="0038128C">
        <w:rPr>
          <w:rFonts w:ascii="Century Gothic" w:hAnsi="Century Gothic"/>
          <w:sz w:val="24"/>
          <w:szCs w:val="24"/>
        </w:rPr>
        <w:t xml:space="preserve"> (Artigos 565 e seguintes do Código Civil e pela legislação específica - Lei n.º 8.425/91). Conjunto probatório dos autos do qual se extrai estar o ente municipal em débito em relação aos aluguéis vencidos desde março de 2012. Correção monetária para atualização do valor da moeda. Incidência na hipótese. Recurso provido parcialmente para determinar que seja o débito atualizado monetariamente com base no IPCA e, acrescido de juros moratórios que, por sua vez, devem ser calculados com base no índice oficial de remuneração básica e juros aplicados à caderneta de poupança, nos termos do que dispõe o artigo 1º-F da Lei 9.494/97, mantendo a incidência da multa de 2% do CC.</w:t>
      </w:r>
    </w:p>
    <w:p w:rsidR="0038128C" w:rsidRDefault="0038128C" w:rsidP="00DD14C6">
      <w:pPr>
        <w:spacing w:line="360" w:lineRule="auto"/>
        <w:jc w:val="both"/>
        <w:rPr>
          <w:rFonts w:ascii="Century Gothic" w:hAnsi="Century Gothic"/>
          <w:sz w:val="24"/>
          <w:szCs w:val="24"/>
        </w:rPr>
      </w:pPr>
    </w:p>
    <w:p w:rsidR="00DD14C6" w:rsidRDefault="00DD14C6" w:rsidP="00DD14C6">
      <w:pPr>
        <w:spacing w:line="360" w:lineRule="auto"/>
        <w:jc w:val="both"/>
        <w:rPr>
          <w:rFonts w:ascii="Century Gothic" w:hAnsi="Century Gothic"/>
          <w:sz w:val="24"/>
          <w:szCs w:val="24"/>
        </w:rPr>
      </w:pPr>
    </w:p>
    <w:p w:rsidR="0038128C" w:rsidRPr="00DD14C6" w:rsidRDefault="0038128C" w:rsidP="00DD14C6">
      <w:pPr>
        <w:spacing w:line="360" w:lineRule="auto"/>
        <w:ind w:left="2835"/>
        <w:jc w:val="both"/>
        <w:rPr>
          <w:rFonts w:ascii="Century Gothic" w:hAnsi="Century Gothic"/>
          <w:b/>
          <w:sz w:val="24"/>
          <w:szCs w:val="24"/>
        </w:rPr>
      </w:pPr>
      <w:r w:rsidRPr="00DD14C6">
        <w:rPr>
          <w:rFonts w:ascii="Century Gothic" w:hAnsi="Century Gothic"/>
          <w:b/>
          <w:sz w:val="24"/>
          <w:szCs w:val="24"/>
        </w:rPr>
        <w:lastRenderedPageBreak/>
        <w:t>0046756-37.2015.8.19.0002 - APELAÇÃO</w:t>
      </w:r>
    </w:p>
    <w:p w:rsidR="0038128C" w:rsidRPr="00DD14C6" w:rsidRDefault="0038128C" w:rsidP="00DD14C6">
      <w:pPr>
        <w:spacing w:line="360" w:lineRule="auto"/>
        <w:ind w:left="2835"/>
        <w:jc w:val="both"/>
        <w:rPr>
          <w:rFonts w:ascii="Century Gothic" w:hAnsi="Century Gothic"/>
          <w:b/>
          <w:sz w:val="24"/>
          <w:szCs w:val="24"/>
        </w:rPr>
      </w:pPr>
      <w:proofErr w:type="gramStart"/>
      <w:r w:rsidRPr="00DD14C6">
        <w:rPr>
          <w:rFonts w:ascii="Century Gothic" w:hAnsi="Century Gothic"/>
          <w:b/>
          <w:sz w:val="24"/>
          <w:szCs w:val="24"/>
        </w:rPr>
        <w:t>Des(</w:t>
      </w:r>
      <w:proofErr w:type="gramEnd"/>
      <w:r w:rsidRPr="00DD14C6">
        <w:rPr>
          <w:rFonts w:ascii="Century Gothic" w:hAnsi="Century Gothic"/>
          <w:b/>
          <w:sz w:val="24"/>
          <w:szCs w:val="24"/>
        </w:rPr>
        <w:t>a). MARCOS ALCINO DE AZEVEDO TORRES - Julgamento: 12/06/2019</w:t>
      </w:r>
      <w:r w:rsidR="00DD14C6">
        <w:rPr>
          <w:rFonts w:ascii="Century Gothic" w:hAnsi="Century Gothic"/>
          <w:b/>
          <w:sz w:val="24"/>
          <w:szCs w:val="24"/>
        </w:rPr>
        <w:t xml:space="preserve"> - VIGÉSIMA SÉTIMA CÂMARA CÍVEL</w:t>
      </w:r>
    </w:p>
    <w:p w:rsidR="0038128C" w:rsidRPr="0038128C" w:rsidRDefault="0038128C" w:rsidP="00DD14C6">
      <w:pPr>
        <w:spacing w:line="360" w:lineRule="auto"/>
        <w:ind w:left="2835"/>
        <w:jc w:val="both"/>
        <w:rPr>
          <w:rFonts w:ascii="Century Gothic" w:hAnsi="Century Gothic"/>
          <w:sz w:val="24"/>
          <w:szCs w:val="24"/>
        </w:rPr>
      </w:pPr>
      <w:r w:rsidRPr="0038128C">
        <w:rPr>
          <w:rFonts w:ascii="Century Gothic" w:hAnsi="Century Gothic"/>
          <w:sz w:val="24"/>
          <w:szCs w:val="24"/>
        </w:rPr>
        <w:t xml:space="preserve">Apelação. Embargos à execução de título extrajudicial. Débito locatício. </w:t>
      </w:r>
      <w:r w:rsidRPr="00DD14C6">
        <w:rPr>
          <w:rFonts w:ascii="Century Gothic" w:hAnsi="Century Gothic"/>
          <w:b/>
          <w:sz w:val="24"/>
          <w:szCs w:val="24"/>
        </w:rPr>
        <w:t>Imóvel locado a fundação municipal de direito público.</w:t>
      </w:r>
      <w:r w:rsidRPr="0038128C">
        <w:rPr>
          <w:rFonts w:ascii="Century Gothic" w:hAnsi="Century Gothic"/>
          <w:sz w:val="24"/>
          <w:szCs w:val="24"/>
        </w:rPr>
        <w:t xml:space="preserve"> Ocupação que se prolonga para além do prazo contratual. Prorrogação por prazo indeterminado (art. 56, parágrafo único, da Lei de Locações). Eventual sublocação para outro órgão da administração não afasta a responsabilidade do locatário. Possíveis inobservâncias das formalidades impostas pela Lei de Licitações não têm o condão de esvaziar a liquidez, certeza e exigibilidade do título. </w:t>
      </w:r>
      <w:r w:rsidRPr="00DD14C6">
        <w:rPr>
          <w:rFonts w:ascii="Century Gothic" w:hAnsi="Century Gothic"/>
          <w:b/>
          <w:sz w:val="28"/>
          <w:szCs w:val="28"/>
          <w:u w:val="single"/>
        </w:rPr>
        <w:t>A presença da Administração Pública num dos polos contratuais não afasta a natureza de direito privado da avença, nem impede a incidência das regras legais que disciplinam essa espécie contratual.</w:t>
      </w:r>
      <w:r w:rsidRPr="0038128C">
        <w:rPr>
          <w:rFonts w:ascii="Century Gothic" w:hAnsi="Century Gothic"/>
          <w:sz w:val="24"/>
          <w:szCs w:val="24"/>
        </w:rPr>
        <w:t xml:space="preserve"> Vedação do enriquecimento sem causa, a que rende ensejo a sentença apelada, que, a pretexto de escrupulosa observância das normas de Direito Administrativo, chancela a patente injustiça de uma ocupação graciosa de imóvel particular pelo Estado. Provimento do recurso.</w:t>
      </w:r>
    </w:p>
    <w:p w:rsidR="00DD14C6" w:rsidRDefault="00DD14C6" w:rsidP="00DD14C6">
      <w:pPr>
        <w:spacing w:line="360" w:lineRule="auto"/>
        <w:jc w:val="both"/>
        <w:rPr>
          <w:rFonts w:ascii="Century Gothic" w:hAnsi="Century Gothic"/>
          <w:sz w:val="24"/>
          <w:szCs w:val="24"/>
        </w:rPr>
      </w:pPr>
    </w:p>
    <w:p w:rsidR="0038128C" w:rsidRDefault="00DD14C6" w:rsidP="00DD14C6">
      <w:pPr>
        <w:spacing w:line="360" w:lineRule="auto"/>
        <w:ind w:firstLine="708"/>
        <w:jc w:val="both"/>
        <w:rPr>
          <w:rFonts w:ascii="Century Gothic" w:hAnsi="Century Gothic"/>
          <w:sz w:val="24"/>
          <w:szCs w:val="24"/>
        </w:rPr>
      </w:pPr>
      <w:r>
        <w:rPr>
          <w:rFonts w:ascii="Century Gothic" w:hAnsi="Century Gothic"/>
          <w:sz w:val="24"/>
          <w:szCs w:val="24"/>
        </w:rPr>
        <w:lastRenderedPageBreak/>
        <w:t xml:space="preserve"> Ilustre julgador, a jurisprudência do Tribunal de Justiça do Estado do Rio de Janeiro não deixa margem de dúvida quanto a obrigatoriedade de a Administração Pública observar as normas da Lei Federal 8.245/91, tal como o direito de preferência da locatária no caso concreto. O Edital de Licitação viola o Princípio Constitucional da Legalidade ao não prever o direito supramencionado à senhora Heloisa Lopes e Silva. A UERJ como instituição pertencente à Administração Pública deve respeitar o Princípio da Legalidade consagrado no artigo 37 da Carta Magna:</w:t>
      </w:r>
    </w:p>
    <w:p w:rsidR="00DD14C6" w:rsidRDefault="00FD417A" w:rsidP="00FD417A">
      <w:pPr>
        <w:spacing w:line="360" w:lineRule="auto"/>
        <w:ind w:left="2835"/>
        <w:jc w:val="both"/>
        <w:rPr>
          <w:rFonts w:ascii="Century Gothic" w:hAnsi="Century Gothic"/>
          <w:sz w:val="24"/>
          <w:szCs w:val="24"/>
        </w:rPr>
      </w:pPr>
      <w:r w:rsidRPr="00FD417A">
        <w:rPr>
          <w:rFonts w:ascii="Century Gothic" w:hAnsi="Century Gothic"/>
          <w:b/>
          <w:sz w:val="24"/>
          <w:szCs w:val="24"/>
        </w:rPr>
        <w:t xml:space="preserve">Art. 37. A administração pública direta e indireta </w:t>
      </w:r>
      <w:r w:rsidRPr="00FD417A">
        <w:rPr>
          <w:rFonts w:ascii="Century Gothic" w:hAnsi="Century Gothic"/>
          <w:sz w:val="24"/>
          <w:szCs w:val="24"/>
        </w:rPr>
        <w:t xml:space="preserve">de qualquer dos Poderes da União, </w:t>
      </w:r>
      <w:r w:rsidRPr="00FD417A">
        <w:rPr>
          <w:rFonts w:ascii="Century Gothic" w:hAnsi="Century Gothic"/>
          <w:b/>
          <w:sz w:val="24"/>
          <w:szCs w:val="24"/>
        </w:rPr>
        <w:t>dos Estados</w:t>
      </w:r>
      <w:r w:rsidRPr="00FD417A">
        <w:rPr>
          <w:rFonts w:ascii="Century Gothic" w:hAnsi="Century Gothic"/>
          <w:sz w:val="24"/>
          <w:szCs w:val="24"/>
        </w:rPr>
        <w:t xml:space="preserve">, do Distrito Federal e dos Municípios obedecerá </w:t>
      </w:r>
      <w:r w:rsidRPr="00FD417A">
        <w:rPr>
          <w:rFonts w:ascii="Century Gothic" w:hAnsi="Century Gothic"/>
          <w:b/>
          <w:sz w:val="24"/>
          <w:szCs w:val="24"/>
        </w:rPr>
        <w:t>aos princípios de legalidade</w:t>
      </w:r>
      <w:r w:rsidRPr="00FD417A">
        <w:rPr>
          <w:rFonts w:ascii="Century Gothic" w:hAnsi="Century Gothic"/>
          <w:sz w:val="24"/>
          <w:szCs w:val="24"/>
        </w:rPr>
        <w:t>, impessoalidade, moralidade, publicidade e eficiê</w:t>
      </w:r>
      <w:r>
        <w:rPr>
          <w:rFonts w:ascii="Century Gothic" w:hAnsi="Century Gothic"/>
          <w:sz w:val="24"/>
          <w:szCs w:val="24"/>
        </w:rPr>
        <w:t>ncia e, também, ao seguinte</w:t>
      </w:r>
    </w:p>
    <w:p w:rsidR="00FD417A" w:rsidRPr="00FD417A" w:rsidRDefault="00FD417A" w:rsidP="00FD417A">
      <w:pPr>
        <w:spacing w:before="120" w:after="100" w:afterAutospacing="1" w:line="360" w:lineRule="auto"/>
        <w:ind w:right="-567" w:firstLine="709"/>
        <w:jc w:val="both"/>
        <w:rPr>
          <w:rFonts w:ascii="Century Gothic" w:hAnsi="Century Gothic" w:cs="Arial"/>
          <w:color w:val="000000"/>
          <w:sz w:val="24"/>
          <w:szCs w:val="24"/>
        </w:rPr>
      </w:pPr>
      <w:r w:rsidRPr="00FD417A">
        <w:rPr>
          <w:rFonts w:ascii="Century Gothic" w:hAnsi="Century Gothic" w:cs="Arial"/>
          <w:color w:val="000000"/>
          <w:sz w:val="24"/>
          <w:szCs w:val="24"/>
        </w:rPr>
        <w:t xml:space="preserve">O </w:t>
      </w:r>
      <w:r w:rsidRPr="00FD417A">
        <w:rPr>
          <w:rFonts w:ascii="Century Gothic" w:hAnsi="Century Gothic" w:cs="Arial"/>
          <w:b/>
          <w:color w:val="000000"/>
          <w:sz w:val="24"/>
          <w:szCs w:val="24"/>
        </w:rPr>
        <w:t>PRINCÍPIO DA LEGALIDADE</w:t>
      </w:r>
      <w:r w:rsidRPr="00FD417A">
        <w:rPr>
          <w:rFonts w:ascii="Century Gothic" w:hAnsi="Century Gothic" w:cs="Arial"/>
          <w:color w:val="000000"/>
          <w:sz w:val="24"/>
          <w:szCs w:val="24"/>
        </w:rPr>
        <w:t xml:space="preserve"> consiste na </w:t>
      </w:r>
      <w:proofErr w:type="spellStart"/>
      <w:r w:rsidRPr="00FD417A">
        <w:rPr>
          <w:rFonts w:ascii="Century Gothic" w:hAnsi="Century Gothic" w:cs="Arial"/>
          <w:color w:val="000000"/>
          <w:sz w:val="24"/>
          <w:szCs w:val="24"/>
        </w:rPr>
        <w:t>idéia</w:t>
      </w:r>
      <w:proofErr w:type="spellEnd"/>
      <w:r w:rsidRPr="00FD417A">
        <w:rPr>
          <w:rFonts w:ascii="Century Gothic" w:hAnsi="Century Gothic" w:cs="Arial"/>
          <w:color w:val="000000"/>
          <w:sz w:val="24"/>
          <w:szCs w:val="24"/>
        </w:rPr>
        <w:t xml:space="preserve"> de que a Administração Pública tem sua atuação restrita ao disposto em lei, ou seja, somente pode fazer o que a lei lhe permite, não podendo inovar, seja restringindo ou ampliando o sentido do dispositivo legal de forma a cercear direito de terceiros. </w:t>
      </w:r>
    </w:p>
    <w:p w:rsidR="00FD417A" w:rsidRPr="00FD417A" w:rsidRDefault="00FD417A" w:rsidP="00FD417A">
      <w:pPr>
        <w:spacing w:before="120" w:after="100" w:afterAutospacing="1" w:line="360" w:lineRule="auto"/>
        <w:ind w:right="-567" w:firstLine="709"/>
        <w:jc w:val="both"/>
        <w:rPr>
          <w:rFonts w:ascii="Century Gothic" w:hAnsi="Century Gothic" w:cs="Arial"/>
          <w:color w:val="000000"/>
          <w:sz w:val="24"/>
          <w:szCs w:val="24"/>
        </w:rPr>
      </w:pPr>
      <w:r w:rsidRPr="00FD417A">
        <w:rPr>
          <w:rFonts w:ascii="Century Gothic" w:hAnsi="Century Gothic" w:cs="Arial"/>
          <w:color w:val="000000"/>
          <w:sz w:val="24"/>
          <w:szCs w:val="24"/>
        </w:rPr>
        <w:t xml:space="preserve">Corrobora este entendimento o insigne autor </w:t>
      </w:r>
      <w:r w:rsidRPr="00FD417A">
        <w:rPr>
          <w:rFonts w:ascii="Century Gothic" w:hAnsi="Century Gothic" w:cs="Arial"/>
          <w:b/>
          <w:color w:val="000000"/>
          <w:sz w:val="24"/>
          <w:szCs w:val="24"/>
        </w:rPr>
        <w:t xml:space="preserve">Celso </w:t>
      </w:r>
      <w:proofErr w:type="spellStart"/>
      <w:r w:rsidRPr="00FD417A">
        <w:rPr>
          <w:rFonts w:ascii="Century Gothic" w:hAnsi="Century Gothic" w:cs="Arial"/>
          <w:b/>
          <w:color w:val="000000"/>
          <w:sz w:val="24"/>
          <w:szCs w:val="24"/>
        </w:rPr>
        <w:t>Antonio</w:t>
      </w:r>
      <w:proofErr w:type="spellEnd"/>
      <w:r w:rsidRPr="00FD417A">
        <w:rPr>
          <w:rFonts w:ascii="Century Gothic" w:hAnsi="Century Gothic" w:cs="Arial"/>
          <w:b/>
          <w:color w:val="000000"/>
          <w:sz w:val="24"/>
          <w:szCs w:val="24"/>
        </w:rPr>
        <w:t xml:space="preserve"> Bandeira de Melo em “Curso de Direito Administrativo”, São Paulo, ed. Malheiros,2007, p.97/98, </w:t>
      </w:r>
      <w:r w:rsidRPr="00FD417A">
        <w:rPr>
          <w:rFonts w:ascii="Century Gothic" w:hAnsi="Century Gothic" w:cs="Arial"/>
          <w:b/>
          <w:i/>
          <w:color w:val="000000"/>
          <w:sz w:val="24"/>
          <w:szCs w:val="24"/>
        </w:rPr>
        <w:t xml:space="preserve">in </w:t>
      </w:r>
      <w:proofErr w:type="spellStart"/>
      <w:r w:rsidRPr="00FD417A">
        <w:rPr>
          <w:rFonts w:ascii="Century Gothic" w:hAnsi="Century Gothic" w:cs="Arial"/>
          <w:b/>
          <w:i/>
          <w:color w:val="000000"/>
          <w:sz w:val="24"/>
          <w:szCs w:val="24"/>
        </w:rPr>
        <w:t>verbis</w:t>
      </w:r>
      <w:proofErr w:type="spellEnd"/>
      <w:r w:rsidRPr="00FD417A">
        <w:rPr>
          <w:rFonts w:ascii="Century Gothic" w:hAnsi="Century Gothic" w:cs="Arial"/>
          <w:color w:val="000000"/>
          <w:sz w:val="24"/>
          <w:szCs w:val="24"/>
        </w:rPr>
        <w:t>:</w:t>
      </w:r>
    </w:p>
    <w:p w:rsidR="00FD417A" w:rsidRPr="00FD417A" w:rsidRDefault="00FD417A" w:rsidP="00FD417A">
      <w:pPr>
        <w:spacing w:before="120" w:after="100" w:afterAutospacing="1" w:line="360" w:lineRule="auto"/>
        <w:ind w:left="2835" w:right="-567"/>
        <w:jc w:val="both"/>
        <w:rPr>
          <w:rFonts w:ascii="Century Gothic" w:hAnsi="Century Gothic" w:cs="Arial"/>
          <w:color w:val="000000"/>
          <w:sz w:val="24"/>
          <w:szCs w:val="24"/>
        </w:rPr>
      </w:pPr>
      <w:r w:rsidRPr="00FD417A">
        <w:rPr>
          <w:rFonts w:ascii="Century Gothic" w:hAnsi="Century Gothic" w:cs="Arial"/>
          <w:color w:val="000000"/>
          <w:sz w:val="24"/>
          <w:szCs w:val="24"/>
        </w:rPr>
        <w:t xml:space="preserve">“Para avaliar corretamente o princípio da legalidade e </w:t>
      </w:r>
      <w:proofErr w:type="spellStart"/>
      <w:r w:rsidRPr="00FD417A">
        <w:rPr>
          <w:rFonts w:ascii="Century Gothic" w:hAnsi="Century Gothic" w:cs="Arial"/>
          <w:color w:val="000000"/>
          <w:sz w:val="24"/>
          <w:szCs w:val="24"/>
        </w:rPr>
        <w:t>captar-lhe</w:t>
      </w:r>
      <w:proofErr w:type="spellEnd"/>
      <w:r w:rsidRPr="00FD417A">
        <w:rPr>
          <w:rFonts w:ascii="Century Gothic" w:hAnsi="Century Gothic" w:cs="Arial"/>
          <w:color w:val="000000"/>
          <w:sz w:val="24"/>
          <w:szCs w:val="24"/>
        </w:rPr>
        <w:t xml:space="preserve"> o sentido profundo cumpre atentar para o fato de que ele é a tradução jurídica de um propósito político: o de submeter os </w:t>
      </w:r>
      <w:proofErr w:type="spellStart"/>
      <w:r w:rsidRPr="00FD417A">
        <w:rPr>
          <w:rFonts w:ascii="Century Gothic" w:hAnsi="Century Gothic" w:cs="Arial"/>
          <w:color w:val="000000"/>
          <w:sz w:val="24"/>
          <w:szCs w:val="24"/>
        </w:rPr>
        <w:t>exercentes</w:t>
      </w:r>
      <w:proofErr w:type="spellEnd"/>
      <w:r w:rsidRPr="00FD417A">
        <w:rPr>
          <w:rFonts w:ascii="Century Gothic" w:hAnsi="Century Gothic" w:cs="Arial"/>
          <w:color w:val="000000"/>
          <w:sz w:val="24"/>
          <w:szCs w:val="24"/>
        </w:rPr>
        <w:t xml:space="preserve"> do poder em concreto – o administrativo – a um quadro normativo que embargue favoritismos, perseguições ou desmandos. Pretende-se através da norma geral, </w:t>
      </w:r>
      <w:r w:rsidRPr="00FD417A">
        <w:rPr>
          <w:rFonts w:ascii="Century Gothic" w:hAnsi="Century Gothic" w:cs="Arial"/>
          <w:color w:val="000000"/>
          <w:sz w:val="24"/>
          <w:szCs w:val="24"/>
        </w:rPr>
        <w:lastRenderedPageBreak/>
        <w:t>abstrata e por isso mesmo impessoal, a lei, editado, pois pelo Poder Legislativo – que é o colégio representativo de todas as tendências (inclusive minoritárias) do corpo social – garantir que a atuação do executivo nada mais seja senão a concretização desta vontade geral.</w:t>
      </w:r>
    </w:p>
    <w:p w:rsidR="00FD417A" w:rsidRPr="00FD417A" w:rsidRDefault="00FD417A" w:rsidP="00FD417A">
      <w:pPr>
        <w:spacing w:before="120" w:after="100" w:afterAutospacing="1" w:line="360" w:lineRule="auto"/>
        <w:ind w:left="2835" w:right="-567"/>
        <w:jc w:val="both"/>
        <w:rPr>
          <w:rFonts w:ascii="Century Gothic" w:hAnsi="Century Gothic" w:cs="Arial"/>
          <w:color w:val="000000"/>
          <w:sz w:val="24"/>
          <w:szCs w:val="24"/>
        </w:rPr>
      </w:pPr>
      <w:r w:rsidRPr="00FD417A">
        <w:rPr>
          <w:rFonts w:ascii="Century Gothic" w:hAnsi="Century Gothic" w:cs="Arial"/>
          <w:b/>
          <w:color w:val="000000"/>
          <w:sz w:val="24"/>
          <w:szCs w:val="24"/>
          <w:u w:val="single"/>
        </w:rPr>
        <w:t xml:space="preserve">Assim, o princípio da legalidade é o da completa submissão da Administração às leis. Esta deve tão somente obedecê-las, cumpri-las, pô-las em </w:t>
      </w:r>
      <w:proofErr w:type="gramStart"/>
      <w:r w:rsidRPr="00FD417A">
        <w:rPr>
          <w:rFonts w:ascii="Century Gothic" w:hAnsi="Century Gothic" w:cs="Arial"/>
          <w:b/>
          <w:color w:val="000000"/>
          <w:sz w:val="24"/>
          <w:szCs w:val="24"/>
          <w:u w:val="single"/>
        </w:rPr>
        <w:t>prática.</w:t>
      </w:r>
      <w:r w:rsidRPr="00FD417A">
        <w:rPr>
          <w:rFonts w:ascii="Century Gothic" w:hAnsi="Century Gothic" w:cs="Arial"/>
          <w:color w:val="000000"/>
          <w:sz w:val="24"/>
          <w:szCs w:val="24"/>
        </w:rPr>
        <w:t>”</w:t>
      </w:r>
      <w:proofErr w:type="gramEnd"/>
      <w:r w:rsidRPr="00FD417A">
        <w:rPr>
          <w:rFonts w:ascii="Century Gothic" w:hAnsi="Century Gothic" w:cs="Arial"/>
          <w:color w:val="000000"/>
          <w:sz w:val="24"/>
          <w:szCs w:val="24"/>
        </w:rPr>
        <w:t xml:space="preserve"> </w:t>
      </w:r>
    </w:p>
    <w:p w:rsidR="00FD417A" w:rsidRPr="00FD417A" w:rsidRDefault="00FD417A" w:rsidP="00FD417A">
      <w:pPr>
        <w:spacing w:before="120" w:after="100" w:afterAutospacing="1" w:line="360" w:lineRule="auto"/>
        <w:ind w:right="-567"/>
        <w:jc w:val="both"/>
        <w:rPr>
          <w:rFonts w:ascii="Century Gothic" w:hAnsi="Century Gothic" w:cs="Arial"/>
          <w:color w:val="000000"/>
          <w:sz w:val="24"/>
          <w:szCs w:val="24"/>
        </w:rPr>
      </w:pPr>
      <w:r w:rsidRPr="00FD417A">
        <w:rPr>
          <w:rFonts w:ascii="Century Gothic" w:hAnsi="Century Gothic" w:cs="Arial"/>
          <w:color w:val="000000"/>
          <w:sz w:val="24"/>
          <w:szCs w:val="24"/>
        </w:rPr>
        <w:tab/>
        <w:t>Analisando ainda, o entendimento do renomado autor, temos em sua brilhante definição sobre o princípio da legalidade no âmbito exclusivo da Administração Pública – na obra citada, página 47 – a forma didática de entendermos a situação, qual seja:</w:t>
      </w:r>
    </w:p>
    <w:p w:rsidR="00FD417A" w:rsidRPr="00FD417A" w:rsidRDefault="00FD417A" w:rsidP="00FD417A">
      <w:pPr>
        <w:spacing w:before="120" w:after="100" w:afterAutospacing="1" w:line="360" w:lineRule="auto"/>
        <w:ind w:left="2835" w:right="-567"/>
        <w:jc w:val="both"/>
        <w:rPr>
          <w:rFonts w:ascii="Century Gothic" w:hAnsi="Century Gothic" w:cs="Arial"/>
          <w:color w:val="000000"/>
          <w:sz w:val="24"/>
          <w:szCs w:val="24"/>
        </w:rPr>
      </w:pPr>
      <w:r w:rsidRPr="00FD417A">
        <w:rPr>
          <w:rFonts w:ascii="Century Gothic" w:hAnsi="Century Gothic" w:cs="Arial"/>
          <w:color w:val="000000"/>
          <w:sz w:val="24"/>
          <w:szCs w:val="24"/>
        </w:rPr>
        <w:t xml:space="preserve">“É o fruto da submissão do Estado à </w:t>
      </w:r>
      <w:proofErr w:type="spellStart"/>
      <w:r w:rsidRPr="00FD417A">
        <w:rPr>
          <w:rFonts w:ascii="Century Gothic" w:hAnsi="Century Gothic" w:cs="Arial"/>
          <w:color w:val="000000"/>
          <w:sz w:val="24"/>
          <w:szCs w:val="24"/>
        </w:rPr>
        <w:t>lei.È</w:t>
      </w:r>
      <w:proofErr w:type="spellEnd"/>
      <w:r w:rsidRPr="00FD417A">
        <w:rPr>
          <w:rFonts w:ascii="Century Gothic" w:hAnsi="Century Gothic" w:cs="Arial"/>
          <w:color w:val="000000"/>
          <w:sz w:val="24"/>
          <w:szCs w:val="24"/>
        </w:rPr>
        <w:t xml:space="preserve"> em suma: a consagração da </w:t>
      </w:r>
      <w:proofErr w:type="spellStart"/>
      <w:r w:rsidRPr="00FD417A">
        <w:rPr>
          <w:rFonts w:ascii="Century Gothic" w:hAnsi="Century Gothic" w:cs="Arial"/>
          <w:color w:val="000000"/>
          <w:sz w:val="24"/>
          <w:szCs w:val="24"/>
        </w:rPr>
        <w:t>idéia</w:t>
      </w:r>
      <w:proofErr w:type="spellEnd"/>
      <w:r w:rsidRPr="00FD417A">
        <w:rPr>
          <w:rFonts w:ascii="Century Gothic" w:hAnsi="Century Gothic" w:cs="Arial"/>
          <w:color w:val="000000"/>
          <w:sz w:val="24"/>
          <w:szCs w:val="24"/>
        </w:rPr>
        <w:t xml:space="preserve"> de que a Administração Pública só pode ser exercida na conformidade da lei e que, de conseguinte, a atividade administrativa é atividade </w:t>
      </w:r>
      <w:proofErr w:type="spellStart"/>
      <w:r w:rsidRPr="00FD417A">
        <w:rPr>
          <w:rFonts w:ascii="Century Gothic" w:hAnsi="Century Gothic" w:cs="Arial"/>
          <w:color w:val="000000"/>
          <w:sz w:val="24"/>
          <w:szCs w:val="24"/>
        </w:rPr>
        <w:t>sublegal</w:t>
      </w:r>
      <w:proofErr w:type="spellEnd"/>
      <w:r w:rsidRPr="00FD417A">
        <w:rPr>
          <w:rFonts w:ascii="Century Gothic" w:hAnsi="Century Gothic" w:cs="Arial"/>
          <w:color w:val="000000"/>
          <w:sz w:val="24"/>
          <w:szCs w:val="24"/>
        </w:rPr>
        <w:t xml:space="preserve">, </w:t>
      </w:r>
      <w:proofErr w:type="spellStart"/>
      <w:r w:rsidRPr="00FD417A">
        <w:rPr>
          <w:rFonts w:ascii="Century Gothic" w:hAnsi="Century Gothic" w:cs="Arial"/>
          <w:color w:val="000000"/>
          <w:sz w:val="24"/>
          <w:szCs w:val="24"/>
        </w:rPr>
        <w:t>infralegal</w:t>
      </w:r>
      <w:proofErr w:type="spellEnd"/>
      <w:r w:rsidRPr="00FD417A">
        <w:rPr>
          <w:rFonts w:ascii="Century Gothic" w:hAnsi="Century Gothic" w:cs="Arial"/>
          <w:color w:val="000000"/>
          <w:sz w:val="24"/>
          <w:szCs w:val="24"/>
        </w:rPr>
        <w:t xml:space="preserve">, consistente na expedição de comandos complementares à </w:t>
      </w:r>
      <w:proofErr w:type="gramStart"/>
      <w:r w:rsidRPr="00FD417A">
        <w:rPr>
          <w:rFonts w:ascii="Century Gothic" w:hAnsi="Century Gothic" w:cs="Arial"/>
          <w:color w:val="000000"/>
          <w:sz w:val="24"/>
          <w:szCs w:val="24"/>
        </w:rPr>
        <w:t>lei.”</w:t>
      </w:r>
      <w:proofErr w:type="gramEnd"/>
      <w:r w:rsidRPr="00FD417A">
        <w:rPr>
          <w:rFonts w:ascii="Century Gothic" w:hAnsi="Century Gothic" w:cs="Arial"/>
          <w:color w:val="000000"/>
          <w:sz w:val="24"/>
          <w:szCs w:val="24"/>
        </w:rPr>
        <w:t xml:space="preserve"> </w:t>
      </w:r>
    </w:p>
    <w:p w:rsidR="00DD14C6" w:rsidRDefault="00FD417A" w:rsidP="00DD14C6">
      <w:pPr>
        <w:spacing w:line="360" w:lineRule="auto"/>
        <w:ind w:firstLine="708"/>
        <w:jc w:val="both"/>
        <w:rPr>
          <w:rFonts w:ascii="Century Gothic" w:hAnsi="Century Gothic"/>
          <w:sz w:val="24"/>
          <w:szCs w:val="24"/>
        </w:rPr>
      </w:pPr>
      <w:r>
        <w:rPr>
          <w:rFonts w:ascii="Century Gothic" w:hAnsi="Century Gothic"/>
          <w:sz w:val="24"/>
          <w:szCs w:val="24"/>
        </w:rPr>
        <w:t xml:space="preserve">Sendo assim, está o presente edital, com a devida vênia, maculado com a pecha da inconstitucionalidade por ferir o artigo 37, </w:t>
      </w:r>
      <w:r w:rsidRPr="00FD417A">
        <w:rPr>
          <w:rFonts w:ascii="Century Gothic" w:hAnsi="Century Gothic"/>
          <w:i/>
          <w:sz w:val="24"/>
          <w:szCs w:val="24"/>
        </w:rPr>
        <w:t>caput</w:t>
      </w:r>
      <w:r>
        <w:rPr>
          <w:rFonts w:ascii="Century Gothic" w:hAnsi="Century Gothic"/>
          <w:sz w:val="24"/>
          <w:szCs w:val="24"/>
        </w:rPr>
        <w:t xml:space="preserve">, da Constituição Federal, especificamente o Princípio da Legalidade ao não respeitar os artigos 28 e 29 da Lei Federal 8.245/91 em relação à locatária. Desta feita, requer a impugnante a anulação do processo licitatório de concorrência 17/2019 (proc. Adm. E-26/007/101752/2018), franqueando-se o seu direito de preferência contido na Lei de Locações. </w:t>
      </w:r>
    </w:p>
    <w:p w:rsidR="00DD14C6" w:rsidRDefault="00DD14C6" w:rsidP="00FD417A">
      <w:pPr>
        <w:spacing w:line="360" w:lineRule="auto"/>
        <w:jc w:val="both"/>
        <w:rPr>
          <w:rFonts w:ascii="Century Gothic" w:hAnsi="Century Gothic"/>
          <w:sz w:val="24"/>
          <w:szCs w:val="24"/>
        </w:rPr>
      </w:pPr>
    </w:p>
    <w:p w:rsidR="00275DAC" w:rsidRDefault="00275DAC" w:rsidP="006F5FE0">
      <w:pPr>
        <w:spacing w:line="360" w:lineRule="auto"/>
        <w:jc w:val="both"/>
        <w:rPr>
          <w:rFonts w:ascii="Century Gothic" w:hAnsi="Century Gothic"/>
          <w:b/>
          <w:sz w:val="24"/>
          <w:szCs w:val="24"/>
        </w:rPr>
      </w:pPr>
    </w:p>
    <w:p w:rsidR="00DD14C6" w:rsidRDefault="006F5FE0" w:rsidP="006F5FE0">
      <w:pPr>
        <w:spacing w:line="360" w:lineRule="auto"/>
        <w:jc w:val="both"/>
        <w:rPr>
          <w:rFonts w:ascii="Century Gothic" w:hAnsi="Century Gothic"/>
          <w:b/>
          <w:sz w:val="24"/>
          <w:szCs w:val="24"/>
        </w:rPr>
      </w:pPr>
      <w:r w:rsidRPr="006F5FE0">
        <w:rPr>
          <w:rFonts w:ascii="Century Gothic" w:hAnsi="Century Gothic"/>
          <w:b/>
          <w:sz w:val="24"/>
          <w:szCs w:val="24"/>
        </w:rPr>
        <w:t>II – DA VIOLAÇÃO DO PRINCÍPIO DA PUBLICIDADE, COMETIDA PELA UERJ, AO NÃO FAZER CONSTAR NO EDITAL O DIREITO DE PREFERÊNCIA DA LOCATÁRIA E COMO SERÁ O PERMISSIONÁRIO DE USO IMITIDO NA POSSE DO IMÓVEL</w:t>
      </w:r>
    </w:p>
    <w:p w:rsidR="00275DAC" w:rsidRPr="006F5FE0" w:rsidRDefault="00275DAC" w:rsidP="006F5FE0">
      <w:pPr>
        <w:spacing w:line="360" w:lineRule="auto"/>
        <w:jc w:val="both"/>
        <w:rPr>
          <w:rFonts w:ascii="Century Gothic" w:hAnsi="Century Gothic"/>
          <w:b/>
          <w:sz w:val="24"/>
          <w:szCs w:val="24"/>
        </w:rPr>
      </w:pPr>
    </w:p>
    <w:p w:rsidR="00FC44B2" w:rsidRDefault="006F5FE0" w:rsidP="00306951">
      <w:pPr>
        <w:spacing w:line="360" w:lineRule="auto"/>
        <w:jc w:val="both"/>
        <w:rPr>
          <w:rFonts w:ascii="Century Gothic" w:hAnsi="Century Gothic"/>
          <w:sz w:val="24"/>
          <w:szCs w:val="24"/>
        </w:rPr>
      </w:pPr>
      <w:r>
        <w:rPr>
          <w:rFonts w:ascii="Century Gothic" w:hAnsi="Century Gothic"/>
          <w:sz w:val="24"/>
          <w:szCs w:val="24"/>
        </w:rPr>
        <w:tab/>
        <w:t>Cumpre esclarecer que não obstante a violação ao Princípio Constitucional da Legalidade, explanada no tópico acima, há</w:t>
      </w:r>
      <w:r w:rsidR="00FC44B2">
        <w:rPr>
          <w:rFonts w:ascii="Century Gothic" w:hAnsi="Century Gothic"/>
          <w:sz w:val="24"/>
          <w:szCs w:val="24"/>
        </w:rPr>
        <w:t xml:space="preserve"> ainda mais uma inconstitucionalidade no presente edital do certame licitatório, qual seja, não há norma editalícia que explicite o direito de preferência da locatária, bem como não existe previsão de quando será o licitante vencedor imitido na posse do imóvel. Tais fatos, a ausência de norma no edital constando tais regramentos vai de encontro, novamente, com o artigo 37, caput da Constituição Federal, fere o Princípio da publicidade, fazendo recair sobre o certame em questão mais uma inconstitucionalidade. Ou seja, é imperiosa a anulação do presente edital para fazer constar as normas supracitadas.</w:t>
      </w:r>
    </w:p>
    <w:p w:rsidR="00BE234E" w:rsidRDefault="00FC44B2" w:rsidP="00306951">
      <w:pPr>
        <w:spacing w:line="360" w:lineRule="auto"/>
        <w:jc w:val="both"/>
        <w:rPr>
          <w:rFonts w:ascii="Century Gothic" w:hAnsi="Century Gothic"/>
          <w:sz w:val="24"/>
          <w:szCs w:val="24"/>
        </w:rPr>
      </w:pPr>
      <w:r>
        <w:rPr>
          <w:rFonts w:ascii="Century Gothic" w:hAnsi="Century Gothic"/>
          <w:sz w:val="24"/>
          <w:szCs w:val="24"/>
        </w:rPr>
        <w:tab/>
        <w:t xml:space="preserve">Diante do conteúdo fático e jurídico ora plasmado, </w:t>
      </w:r>
      <w:r w:rsidR="00BE234E">
        <w:rPr>
          <w:rFonts w:ascii="Century Gothic" w:hAnsi="Century Gothic"/>
          <w:sz w:val="24"/>
          <w:szCs w:val="24"/>
        </w:rPr>
        <w:t>a impugnante requer:</w:t>
      </w:r>
    </w:p>
    <w:p w:rsidR="0038128C" w:rsidRDefault="00BE234E" w:rsidP="00BE234E">
      <w:pPr>
        <w:spacing w:line="360" w:lineRule="auto"/>
        <w:jc w:val="both"/>
        <w:rPr>
          <w:rFonts w:ascii="Century Gothic" w:hAnsi="Century Gothic"/>
          <w:b/>
          <w:sz w:val="24"/>
          <w:szCs w:val="24"/>
        </w:rPr>
      </w:pPr>
      <w:r w:rsidRPr="00BE234E">
        <w:rPr>
          <w:rFonts w:ascii="Century Gothic" w:hAnsi="Century Gothic"/>
          <w:sz w:val="24"/>
          <w:szCs w:val="24"/>
        </w:rPr>
        <w:t>1-</w:t>
      </w:r>
      <w:r>
        <w:rPr>
          <w:rFonts w:ascii="Century Gothic" w:hAnsi="Century Gothic"/>
          <w:sz w:val="24"/>
          <w:szCs w:val="24"/>
        </w:rPr>
        <w:t xml:space="preserve"> </w:t>
      </w:r>
      <w:r w:rsidR="006F5FE0" w:rsidRPr="00BE234E">
        <w:rPr>
          <w:rFonts w:ascii="Century Gothic" w:hAnsi="Century Gothic"/>
          <w:sz w:val="24"/>
          <w:szCs w:val="24"/>
        </w:rPr>
        <w:t xml:space="preserve"> </w:t>
      </w:r>
      <w:r>
        <w:rPr>
          <w:rFonts w:ascii="Century Gothic" w:hAnsi="Century Gothic"/>
          <w:sz w:val="24"/>
          <w:szCs w:val="24"/>
        </w:rPr>
        <w:t xml:space="preserve">a anulação do edital de concorrência nº 17/2019, haja vista recair sobre este a pecha da inconstitucionalidade, pois viola o Princípio da Legalidade, artigo 37, caput da Carta Magna, ao não observar os artigos 28 e 29 da Leio Federal 8.245/91, à luz do entendimento firmado pelo Tribunal de Justiça do Estado do Rio de Janeiro, vide os julgados </w:t>
      </w:r>
      <w:r w:rsidRPr="00062762">
        <w:rPr>
          <w:rFonts w:ascii="Century Gothic" w:hAnsi="Century Gothic"/>
          <w:b/>
          <w:sz w:val="24"/>
          <w:szCs w:val="24"/>
        </w:rPr>
        <w:t>0040419-41.2013.8.19.0054 e 0046756-37.2015.8.19.0002</w:t>
      </w:r>
      <w:r>
        <w:rPr>
          <w:rFonts w:ascii="Century Gothic" w:hAnsi="Century Gothic"/>
          <w:b/>
          <w:sz w:val="24"/>
          <w:szCs w:val="24"/>
        </w:rPr>
        <w:t>.</w:t>
      </w:r>
    </w:p>
    <w:p w:rsidR="00BE234E" w:rsidRDefault="00BE234E" w:rsidP="00275DAC">
      <w:pPr>
        <w:spacing w:line="240" w:lineRule="auto"/>
        <w:jc w:val="both"/>
        <w:rPr>
          <w:rFonts w:ascii="Century Gothic" w:hAnsi="Century Gothic"/>
          <w:sz w:val="24"/>
          <w:szCs w:val="24"/>
        </w:rPr>
      </w:pPr>
    </w:p>
    <w:p w:rsidR="00BE234E" w:rsidRDefault="00BE234E" w:rsidP="00BE234E">
      <w:pPr>
        <w:spacing w:line="360" w:lineRule="auto"/>
        <w:jc w:val="both"/>
        <w:rPr>
          <w:rFonts w:ascii="Century Gothic" w:hAnsi="Century Gothic"/>
          <w:sz w:val="24"/>
          <w:szCs w:val="24"/>
        </w:rPr>
      </w:pPr>
      <w:r>
        <w:rPr>
          <w:rFonts w:ascii="Century Gothic" w:hAnsi="Century Gothic"/>
          <w:sz w:val="24"/>
          <w:szCs w:val="24"/>
        </w:rPr>
        <w:t xml:space="preserve">2- </w:t>
      </w:r>
      <w:proofErr w:type="gramStart"/>
      <w:r>
        <w:rPr>
          <w:rFonts w:ascii="Century Gothic" w:hAnsi="Century Gothic"/>
          <w:sz w:val="24"/>
          <w:szCs w:val="24"/>
        </w:rPr>
        <w:t>caso</w:t>
      </w:r>
      <w:proofErr w:type="gramEnd"/>
      <w:r>
        <w:rPr>
          <w:rFonts w:ascii="Century Gothic" w:hAnsi="Century Gothic"/>
          <w:sz w:val="24"/>
          <w:szCs w:val="24"/>
        </w:rPr>
        <w:t xml:space="preserve"> esta ilustre comissão julgadora venha a superar o primeiro pedido, requer a anulação do edital por violar o Princípio da Publicidade,</w:t>
      </w:r>
      <w:r w:rsidR="00275DAC">
        <w:rPr>
          <w:rFonts w:ascii="Century Gothic" w:hAnsi="Century Gothic"/>
          <w:sz w:val="24"/>
          <w:szCs w:val="24"/>
        </w:rPr>
        <w:t xml:space="preserve"> artigo 37, </w:t>
      </w:r>
      <w:r w:rsidR="00275DAC" w:rsidRPr="00275DAC">
        <w:rPr>
          <w:rFonts w:ascii="Century Gothic" w:hAnsi="Century Gothic"/>
          <w:i/>
          <w:sz w:val="24"/>
          <w:szCs w:val="24"/>
        </w:rPr>
        <w:t>caput</w:t>
      </w:r>
      <w:r w:rsidR="00275DAC">
        <w:rPr>
          <w:rFonts w:ascii="Century Gothic" w:hAnsi="Century Gothic"/>
          <w:sz w:val="24"/>
          <w:szCs w:val="24"/>
        </w:rPr>
        <w:t xml:space="preserve"> da Constituição Federal, </w:t>
      </w:r>
      <w:r>
        <w:rPr>
          <w:rFonts w:ascii="Century Gothic" w:hAnsi="Century Gothic"/>
          <w:sz w:val="24"/>
          <w:szCs w:val="24"/>
        </w:rPr>
        <w:t xml:space="preserve">pois não há precisão editalícia </w:t>
      </w:r>
      <w:r>
        <w:rPr>
          <w:rFonts w:ascii="Century Gothic" w:hAnsi="Century Gothic"/>
          <w:sz w:val="24"/>
          <w:szCs w:val="24"/>
        </w:rPr>
        <w:lastRenderedPageBreak/>
        <w:t xml:space="preserve">expressa do direito de preferência da locatária, bem como resta ausente a informação de quando o licitante vencedor </w:t>
      </w:r>
      <w:r w:rsidR="00275DAC">
        <w:rPr>
          <w:rFonts w:ascii="Century Gothic" w:hAnsi="Century Gothic"/>
          <w:sz w:val="24"/>
          <w:szCs w:val="24"/>
        </w:rPr>
        <w:t>poderá se imitir na posse do imóvel licitado.</w:t>
      </w:r>
    </w:p>
    <w:p w:rsidR="003636D2" w:rsidRDefault="003636D2" w:rsidP="00BE234E">
      <w:pPr>
        <w:spacing w:line="360" w:lineRule="auto"/>
        <w:jc w:val="both"/>
        <w:rPr>
          <w:rFonts w:ascii="Century Gothic" w:hAnsi="Century Gothic"/>
          <w:sz w:val="24"/>
          <w:szCs w:val="24"/>
        </w:rPr>
      </w:pPr>
    </w:p>
    <w:p w:rsidR="00275DAC" w:rsidRPr="003636D2" w:rsidRDefault="003636D2" w:rsidP="003636D2">
      <w:pPr>
        <w:spacing w:line="360" w:lineRule="auto"/>
        <w:jc w:val="center"/>
        <w:rPr>
          <w:rFonts w:ascii="Century Gothic" w:hAnsi="Century Gothic"/>
          <w:b/>
          <w:sz w:val="24"/>
          <w:szCs w:val="24"/>
        </w:rPr>
      </w:pPr>
      <w:r w:rsidRPr="003636D2">
        <w:rPr>
          <w:rFonts w:ascii="Century Gothic" w:hAnsi="Century Gothic"/>
          <w:b/>
          <w:sz w:val="24"/>
          <w:szCs w:val="24"/>
        </w:rPr>
        <w:t>Rio de Janeiro 11 de setembro de 2019</w:t>
      </w:r>
    </w:p>
    <w:p w:rsidR="00275DAC" w:rsidRPr="003636D2" w:rsidRDefault="00275DAC" w:rsidP="003636D2">
      <w:pPr>
        <w:spacing w:line="360" w:lineRule="auto"/>
        <w:ind w:left="2124" w:firstLine="708"/>
        <w:rPr>
          <w:rFonts w:ascii="Century Gothic" w:hAnsi="Century Gothic"/>
          <w:b/>
          <w:sz w:val="24"/>
          <w:szCs w:val="24"/>
        </w:rPr>
      </w:pPr>
      <w:r w:rsidRPr="003636D2">
        <w:rPr>
          <w:rFonts w:ascii="Century Gothic" w:hAnsi="Century Gothic"/>
          <w:b/>
          <w:sz w:val="24"/>
          <w:szCs w:val="24"/>
        </w:rPr>
        <w:t>Heloisa Lopes e Silva</w:t>
      </w:r>
    </w:p>
    <w:p w:rsidR="00275DAC" w:rsidRPr="003636D2" w:rsidRDefault="00275DAC" w:rsidP="003636D2">
      <w:pPr>
        <w:spacing w:line="360" w:lineRule="auto"/>
        <w:ind w:left="2832" w:firstLine="3"/>
        <w:rPr>
          <w:rFonts w:ascii="Century Gothic" w:hAnsi="Century Gothic"/>
          <w:b/>
          <w:sz w:val="24"/>
          <w:szCs w:val="24"/>
        </w:rPr>
      </w:pPr>
      <w:r w:rsidRPr="003636D2">
        <w:rPr>
          <w:rFonts w:ascii="Century Gothic" w:hAnsi="Century Gothic"/>
          <w:b/>
          <w:sz w:val="24"/>
          <w:szCs w:val="24"/>
        </w:rPr>
        <w:t>RG:</w:t>
      </w:r>
    </w:p>
    <w:p w:rsidR="00275DAC" w:rsidRPr="003636D2" w:rsidRDefault="00275DAC" w:rsidP="003636D2">
      <w:pPr>
        <w:spacing w:line="360" w:lineRule="auto"/>
        <w:ind w:left="2124" w:firstLine="708"/>
        <w:rPr>
          <w:rFonts w:ascii="Century Gothic" w:hAnsi="Century Gothic"/>
          <w:b/>
          <w:sz w:val="24"/>
          <w:szCs w:val="24"/>
        </w:rPr>
      </w:pPr>
      <w:r w:rsidRPr="003636D2">
        <w:rPr>
          <w:rFonts w:ascii="Century Gothic" w:hAnsi="Century Gothic"/>
          <w:b/>
          <w:sz w:val="24"/>
          <w:szCs w:val="24"/>
        </w:rPr>
        <w:t>CPF</w:t>
      </w:r>
    </w:p>
    <w:p w:rsidR="00275DAC" w:rsidRDefault="00275DAC" w:rsidP="00BE234E">
      <w:pPr>
        <w:spacing w:line="360" w:lineRule="auto"/>
        <w:jc w:val="both"/>
        <w:rPr>
          <w:rFonts w:ascii="Century Gothic" w:hAnsi="Century Gothic"/>
          <w:sz w:val="24"/>
          <w:szCs w:val="24"/>
        </w:rPr>
      </w:pPr>
    </w:p>
    <w:p w:rsidR="00275DAC" w:rsidRDefault="00275DAC" w:rsidP="00BE234E">
      <w:pPr>
        <w:spacing w:line="360" w:lineRule="auto"/>
        <w:jc w:val="both"/>
        <w:rPr>
          <w:rFonts w:ascii="Century Gothic" w:hAnsi="Century Gothic"/>
          <w:sz w:val="24"/>
          <w:szCs w:val="24"/>
        </w:rPr>
      </w:pPr>
    </w:p>
    <w:p w:rsidR="00275DAC" w:rsidRPr="00BE234E" w:rsidRDefault="00275DAC" w:rsidP="00BE234E">
      <w:pPr>
        <w:spacing w:line="360" w:lineRule="auto"/>
        <w:jc w:val="both"/>
        <w:rPr>
          <w:rFonts w:ascii="Century Gothic" w:hAnsi="Century Gothic"/>
          <w:sz w:val="24"/>
          <w:szCs w:val="24"/>
        </w:rPr>
      </w:pPr>
      <w:r>
        <w:rPr>
          <w:rFonts w:ascii="Century Gothic" w:hAnsi="Century Gothic"/>
          <w:sz w:val="24"/>
          <w:szCs w:val="24"/>
        </w:rPr>
        <w:t xml:space="preserve"> </w:t>
      </w:r>
    </w:p>
    <w:sectPr w:rsidR="00275DAC" w:rsidRPr="00BE234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BB" w:rsidRDefault="00A66FBB" w:rsidP="00560FBB">
      <w:pPr>
        <w:spacing w:after="0" w:line="240" w:lineRule="auto"/>
      </w:pPr>
      <w:r>
        <w:separator/>
      </w:r>
    </w:p>
  </w:endnote>
  <w:endnote w:type="continuationSeparator" w:id="0">
    <w:p w:rsidR="00A66FBB" w:rsidRDefault="00A66FBB" w:rsidP="0056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386708"/>
      <w:docPartObj>
        <w:docPartGallery w:val="Page Numbers (Bottom of Page)"/>
        <w:docPartUnique/>
      </w:docPartObj>
    </w:sdtPr>
    <w:sdtContent>
      <w:p w:rsidR="00560FBB" w:rsidRDefault="00560FBB">
        <w:pPr>
          <w:pStyle w:val="Rodap"/>
          <w:jc w:val="right"/>
        </w:pPr>
        <w:r>
          <w:fldChar w:fldCharType="begin"/>
        </w:r>
        <w:r>
          <w:instrText>PAGE   \* MERGEFORMAT</w:instrText>
        </w:r>
        <w:r>
          <w:fldChar w:fldCharType="separate"/>
        </w:r>
        <w:r>
          <w:rPr>
            <w:noProof/>
          </w:rPr>
          <w:t>1</w:t>
        </w:r>
        <w:r>
          <w:fldChar w:fldCharType="end"/>
        </w:r>
      </w:p>
    </w:sdtContent>
  </w:sdt>
  <w:p w:rsidR="00560FBB" w:rsidRDefault="00560F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BB" w:rsidRDefault="00A66FBB" w:rsidP="00560FBB">
      <w:pPr>
        <w:spacing w:after="0" w:line="240" w:lineRule="auto"/>
      </w:pPr>
      <w:r>
        <w:separator/>
      </w:r>
    </w:p>
  </w:footnote>
  <w:footnote w:type="continuationSeparator" w:id="0">
    <w:p w:rsidR="00A66FBB" w:rsidRDefault="00A66FBB" w:rsidP="00560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238D0"/>
    <w:multiLevelType w:val="hybridMultilevel"/>
    <w:tmpl w:val="D4DA49E8"/>
    <w:lvl w:ilvl="0" w:tplc="9F10B5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51"/>
    <w:rsid w:val="00062762"/>
    <w:rsid w:val="000D3DEC"/>
    <w:rsid w:val="00107C5E"/>
    <w:rsid w:val="00275DAC"/>
    <w:rsid w:val="00306951"/>
    <w:rsid w:val="003636D2"/>
    <w:rsid w:val="0038128C"/>
    <w:rsid w:val="00560FBB"/>
    <w:rsid w:val="005B4746"/>
    <w:rsid w:val="006109E1"/>
    <w:rsid w:val="006F5FE0"/>
    <w:rsid w:val="00A66FBB"/>
    <w:rsid w:val="00B912EF"/>
    <w:rsid w:val="00BE234E"/>
    <w:rsid w:val="00DD14C6"/>
    <w:rsid w:val="00E17915"/>
    <w:rsid w:val="00FB0206"/>
    <w:rsid w:val="00FC44B2"/>
    <w:rsid w:val="00FD4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F482-E561-43A6-88FC-86145283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234E"/>
    <w:pPr>
      <w:ind w:left="720"/>
      <w:contextualSpacing/>
    </w:pPr>
  </w:style>
  <w:style w:type="paragraph" w:styleId="Cabealho">
    <w:name w:val="header"/>
    <w:basedOn w:val="Normal"/>
    <w:link w:val="CabealhoChar"/>
    <w:uiPriority w:val="99"/>
    <w:unhideWhenUsed/>
    <w:rsid w:val="00560F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FBB"/>
  </w:style>
  <w:style w:type="paragraph" w:styleId="Rodap">
    <w:name w:val="footer"/>
    <w:basedOn w:val="Normal"/>
    <w:link w:val="RodapChar"/>
    <w:uiPriority w:val="99"/>
    <w:unhideWhenUsed/>
    <w:rsid w:val="00560FBB"/>
    <w:pPr>
      <w:tabs>
        <w:tab w:val="center" w:pos="4252"/>
        <w:tab w:val="right" w:pos="8504"/>
      </w:tabs>
      <w:spacing w:after="0" w:line="240" w:lineRule="auto"/>
    </w:pPr>
  </w:style>
  <w:style w:type="character" w:customStyle="1" w:styleId="RodapChar">
    <w:name w:val="Rodapé Char"/>
    <w:basedOn w:val="Fontepargpadro"/>
    <w:link w:val="Rodap"/>
    <w:uiPriority w:val="99"/>
    <w:rsid w:val="0056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7309">
      <w:bodyDiv w:val="1"/>
      <w:marLeft w:val="0"/>
      <w:marRight w:val="0"/>
      <w:marTop w:val="0"/>
      <w:marBottom w:val="0"/>
      <w:divBdr>
        <w:top w:val="none" w:sz="0" w:space="0" w:color="auto"/>
        <w:left w:val="none" w:sz="0" w:space="0" w:color="auto"/>
        <w:bottom w:val="none" w:sz="0" w:space="0" w:color="auto"/>
        <w:right w:val="none" w:sz="0" w:space="0" w:color="auto"/>
      </w:divBdr>
    </w:div>
    <w:div w:id="16376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1517</Words>
  <Characters>8194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Fantoni - Grupo Construir</dc:creator>
  <cp:keywords/>
  <dc:description/>
  <cp:lastModifiedBy>Blanca Fantoni - Grupo Construir</cp:lastModifiedBy>
  <cp:revision>6</cp:revision>
  <dcterms:created xsi:type="dcterms:W3CDTF">2019-09-11T19:03:00Z</dcterms:created>
  <dcterms:modified xsi:type="dcterms:W3CDTF">2019-09-11T21:20:00Z</dcterms:modified>
</cp:coreProperties>
</file>